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宋体" w:hAnsi="宋体" w:eastAsia="宋体" w:cs="宋体"/>
          <w:b/>
          <w:sz w:val="36"/>
          <w:lang w:eastAsia="zh-CN"/>
        </w:rPr>
      </w:pPr>
      <w:r>
        <w:rPr>
          <w:rFonts w:ascii="宋体" w:hAnsi="宋体" w:eastAsia="宋体"/>
          <w:b/>
          <w:sz w:val="36"/>
          <w:lang w:eastAsia="zh-CN"/>
        </w:rPr>
        <w:t>西南大学化学品安全管理</w:t>
      </w:r>
      <w:r>
        <w:rPr>
          <w:rFonts w:hint="eastAsia" w:ascii="宋体" w:hAnsi="宋体" w:eastAsia="宋体"/>
          <w:b/>
          <w:sz w:val="36"/>
          <w:lang w:eastAsia="zh-CN"/>
        </w:rPr>
        <w:t>平台</w:t>
      </w:r>
    </w:p>
    <w:p>
      <w:pPr>
        <w:pStyle w:val="7"/>
        <w:spacing w:before="120" w:beforeLines="50"/>
        <w:ind w:left="108"/>
        <w:jc w:val="center"/>
        <w:rPr>
          <w:rFonts w:ascii="宋体" w:hAnsi="宋体" w:eastAsia="宋体" w:cs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易制毒预申购操作说明</w:t>
      </w: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 w:cs="宋体"/>
          <w:sz w:val="28"/>
          <w:szCs w:val="28"/>
          <w:lang w:val="zh-TW" w:eastAsia="zh-CN"/>
        </w:rPr>
      </w:pPr>
      <w:bookmarkStart w:id="0" w:name="_Toc35528810"/>
      <w:bookmarkStart w:id="1" w:name="_Toc"/>
      <w:r>
        <w:rPr>
          <w:rFonts w:hint="eastAsia" w:ascii="宋体" w:hAnsi="宋体" w:eastAsia="宋体"/>
          <w:sz w:val="28"/>
          <w:szCs w:val="28"/>
          <w:lang w:val="zh-TW" w:eastAsia="zh-TW"/>
        </w:rPr>
        <w:t>一、课题组操作</w:t>
      </w:r>
      <w:bookmarkEnd w:id="0"/>
      <w:bookmarkEnd w:id="1"/>
      <w:r>
        <w:rPr>
          <w:rFonts w:hint="eastAsia" w:ascii="宋体" w:hAnsi="宋体" w:eastAsia="宋体"/>
          <w:sz w:val="28"/>
          <w:szCs w:val="28"/>
          <w:lang w:val="zh-TW" w:eastAsia="zh-CN"/>
        </w:rPr>
        <w:t>说明</w:t>
      </w:r>
    </w:p>
    <w:p>
      <w:pPr>
        <w:spacing w:line="288" w:lineRule="auto"/>
        <w:ind w:left="0" w:leftChars="0" w:firstLine="0" w:firstLineChars="0"/>
        <w:rPr>
          <w:rFonts w:hint="eastAsia" w:ascii="宋体" w:hAnsi="宋体"/>
          <w:sz w:val="24"/>
          <w:szCs w:val="24"/>
          <w:lang w:eastAsia="zh-CN"/>
        </w:rPr>
      </w:pPr>
      <w:bookmarkStart w:id="2" w:name="_Toc35528811"/>
      <w:bookmarkStart w:id="3" w:name="_Toc1"/>
      <w:r>
        <w:rPr>
          <w:rFonts w:ascii="宋体" w:hAnsi="宋体" w:eastAsia="宋体"/>
          <w:sz w:val="24"/>
          <w:szCs w:val="24"/>
        </w:rPr>
        <w:t>1.</w:t>
      </w:r>
      <w:bookmarkEnd w:id="2"/>
      <w:bookmarkEnd w:id="3"/>
      <w:r>
        <w:rPr>
          <w:rFonts w:hint="eastAsia" w:ascii="宋体" w:hAnsi="宋体"/>
          <w:sz w:val="24"/>
          <w:szCs w:val="24"/>
          <w:lang w:eastAsia="zh-CN"/>
        </w:rPr>
        <w:t>工作说明</w:t>
      </w:r>
    </w:p>
    <w:p>
      <w:pPr>
        <w:spacing w:line="288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根据公安部门管理要求，购买易制毒化学品前应先提交购买计划，办理易制毒化学品购买证书，证书限定了购买时段、销售公司、购买品种及数量上限。</w:t>
      </w:r>
    </w:p>
    <w:p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因此学校以半年为周期统计购买计划，</w:t>
      </w:r>
      <w:r>
        <w:rPr>
          <w:rFonts w:ascii="宋体" w:hAnsi="宋体"/>
          <w:sz w:val="24"/>
          <w:szCs w:val="24"/>
        </w:rPr>
        <w:t>课题组提交</w:t>
      </w:r>
      <w:r>
        <w:rPr>
          <w:rFonts w:ascii="宋体" w:hAnsi="宋体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</w:rPr>
        <w:t>购买计划</w:t>
      </w:r>
      <w:r>
        <w:rPr>
          <w:rFonts w:ascii="宋体" w:hAnsi="宋体"/>
          <w:sz w:val="24"/>
          <w:szCs w:val="24"/>
          <w:lang w:eastAsia="zh-CN"/>
        </w:rPr>
        <w:t>直接</w:t>
      </w:r>
      <w:r>
        <w:rPr>
          <w:rFonts w:hint="default" w:ascii="宋体" w:hAnsi="宋体"/>
          <w:sz w:val="24"/>
          <w:szCs w:val="24"/>
          <w:lang w:eastAsia="zh-CN"/>
        </w:rPr>
        <w:t>形成课题组</w:t>
      </w:r>
      <w:r>
        <w:rPr>
          <w:rFonts w:ascii="宋体" w:hAnsi="宋体"/>
          <w:sz w:val="24"/>
          <w:szCs w:val="24"/>
          <w:lang w:eastAsia="zh-CN"/>
        </w:rPr>
        <w:t>在</w:t>
      </w:r>
      <w:r>
        <w:rPr>
          <w:rFonts w:hint="default" w:ascii="宋体" w:hAnsi="宋体"/>
          <w:sz w:val="24"/>
          <w:szCs w:val="24"/>
          <w:lang w:eastAsia="zh-CN"/>
        </w:rPr>
        <w:t>相应时段、品种、数量、公司的</w:t>
      </w:r>
      <w:r>
        <w:rPr>
          <w:rFonts w:ascii="宋体" w:hAnsi="宋体"/>
          <w:sz w:val="24"/>
          <w:szCs w:val="24"/>
          <w:lang w:eastAsia="zh-CN"/>
        </w:rPr>
        <w:t>购买</w:t>
      </w:r>
      <w:r>
        <w:rPr>
          <w:rFonts w:hint="default" w:ascii="宋体" w:hAnsi="宋体"/>
          <w:sz w:val="24"/>
          <w:szCs w:val="24"/>
          <w:lang w:eastAsia="zh-CN"/>
        </w:rPr>
        <w:t>限制，</w:t>
      </w:r>
      <w:r>
        <w:rPr>
          <w:rFonts w:ascii="宋体" w:hAnsi="宋体"/>
          <w:sz w:val="24"/>
          <w:szCs w:val="24"/>
        </w:rPr>
        <w:t>购买流程同普通化学品。</w:t>
      </w:r>
    </w:p>
    <w:p>
      <w:pPr>
        <w:spacing w:line="288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特别注意：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购买计划</w:t>
      </w:r>
      <w:r>
        <w:rPr>
          <w:rFonts w:hint="default" w:ascii="宋体" w:hAnsi="宋体"/>
          <w:sz w:val="24"/>
          <w:szCs w:val="24"/>
          <w:lang w:eastAsia="zh-CN"/>
        </w:rPr>
        <w:t>提交后半年</w:t>
      </w:r>
      <w:r>
        <w:rPr>
          <w:rFonts w:ascii="宋体" w:hAnsi="宋体"/>
          <w:sz w:val="24"/>
          <w:szCs w:val="24"/>
          <w:lang w:eastAsia="zh-CN"/>
        </w:rPr>
        <w:t>内</w:t>
      </w:r>
      <w:r>
        <w:rPr>
          <w:rFonts w:hint="default" w:ascii="宋体" w:hAnsi="宋体"/>
          <w:sz w:val="24"/>
          <w:szCs w:val="24"/>
          <w:lang w:eastAsia="zh-CN"/>
        </w:rPr>
        <w:t>不能更改、增加</w:t>
      </w:r>
      <w:r>
        <w:rPr>
          <w:rFonts w:hint="eastAsia" w:ascii="宋体" w:hAnsi="宋体"/>
          <w:sz w:val="24"/>
          <w:szCs w:val="24"/>
          <w:lang w:eastAsia="zh-CN"/>
        </w:rPr>
        <w:t>；（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.为避免计划不够用、所选公司无货等情况</w:t>
      </w:r>
      <w:r>
        <w:rPr>
          <w:rFonts w:hint="eastAsia" w:ascii="宋体" w:hAnsi="宋体"/>
          <w:sz w:val="24"/>
          <w:szCs w:val="24"/>
          <w:lang w:eastAsia="zh-CN"/>
        </w:rPr>
        <w:t>发生，</w:t>
      </w:r>
      <w:r>
        <w:rPr>
          <w:rFonts w:hint="eastAsia" w:ascii="宋体" w:hAnsi="宋体"/>
          <w:sz w:val="24"/>
          <w:szCs w:val="24"/>
          <w:lang w:val="en-US" w:eastAsia="zh-CN"/>
        </w:rPr>
        <w:t>购买计划可以多品种、多公司、多数量提交，</w:t>
      </w:r>
      <w:r>
        <w:rPr>
          <w:rFonts w:ascii="宋体" w:hAnsi="宋体"/>
          <w:sz w:val="24"/>
          <w:szCs w:val="24"/>
          <w:lang w:eastAsia="zh-CN"/>
        </w:rPr>
        <w:t>。</w:t>
      </w:r>
    </w:p>
    <w:p>
      <w:pPr>
        <w:pStyle w:val="3"/>
        <w:spacing w:before="0" w:after="0" w:line="38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val="zh-TW" w:eastAsia="zh-CN"/>
        </w:rPr>
        <w:t>权限</w:t>
      </w:r>
    </w:p>
    <w:p>
      <w:pPr>
        <w:spacing w:line="288" w:lineRule="auto"/>
        <w:ind w:left="0" w:leftChars="0"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只有课题组负责人才能提交易制毒化学品购买计划申请。</w:t>
      </w:r>
    </w:p>
    <w:p>
      <w:pPr>
        <w:spacing w:line="400" w:lineRule="exact"/>
        <w:ind w:left="0" w:leftChars="0" w:firstLine="0" w:firstLineChars="0"/>
        <w:rPr>
          <w:rStyle w:val="33"/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3.操作步骤</w:t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3.1</w:t>
      </w:r>
      <w:r>
        <w:rPr>
          <w:rStyle w:val="33"/>
          <w:rFonts w:ascii="宋体" w:hAnsi="宋体"/>
          <w:sz w:val="24"/>
          <w:szCs w:val="24"/>
        </w:rPr>
        <w:t>课题组</w:t>
      </w:r>
      <w:r>
        <w:rPr>
          <w:rStyle w:val="33"/>
          <w:rFonts w:ascii="宋体" w:hAnsi="宋体"/>
          <w:sz w:val="24"/>
          <w:szCs w:val="24"/>
          <w:lang w:eastAsia="zh-CN"/>
        </w:rPr>
        <w:t>负责人</w:t>
      </w:r>
      <w:r>
        <w:rPr>
          <w:rStyle w:val="33"/>
          <w:rFonts w:ascii="宋体" w:hAnsi="宋体"/>
          <w:sz w:val="24"/>
          <w:szCs w:val="24"/>
        </w:rPr>
        <w:t>点击</w:t>
      </w:r>
      <w:r>
        <w:rPr>
          <w:rStyle w:val="33"/>
          <w:rFonts w:hint="default" w:ascii="宋体" w:hAnsi="宋体"/>
          <w:sz w:val="24"/>
          <w:szCs w:val="24"/>
        </w:rPr>
        <w:t xml:space="preserve"> “</w:t>
      </w:r>
      <w:r>
        <w:rPr>
          <w:rStyle w:val="33"/>
          <w:rFonts w:ascii="宋体" w:hAnsi="宋体"/>
          <w:sz w:val="24"/>
          <w:szCs w:val="24"/>
        </w:rPr>
        <w:t>易制毒申报</w:t>
      </w:r>
      <w:r>
        <w:rPr>
          <w:rStyle w:val="33"/>
          <w:rFonts w:hint="default" w:ascii="宋体" w:hAnsi="宋体"/>
          <w:sz w:val="24"/>
          <w:szCs w:val="24"/>
        </w:rPr>
        <w:t>”</w:t>
      </w:r>
      <w:r>
        <w:rPr>
          <w:rStyle w:val="33"/>
          <w:rFonts w:ascii="宋体" w:hAnsi="宋体"/>
          <w:sz w:val="24"/>
          <w:szCs w:val="24"/>
        </w:rPr>
        <w:t>，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再点击“填写计划申报表”：</w:t>
      </w:r>
    </w:p>
    <w:p>
      <w:pPr>
        <w:spacing w:line="288" w:lineRule="auto"/>
        <w:ind w:left="0" w:leftChars="0" w:firstLine="0" w:firstLineChars="0"/>
      </w:pPr>
      <w:r>
        <w:drawing>
          <wp:inline distT="0" distB="0" distL="114300" distR="114300">
            <wp:extent cx="1234440" cy="464820"/>
            <wp:effectExtent l="0" t="0" r="0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89530" cy="786765"/>
            <wp:effectExtent l="0" t="0" r="1270" b="57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3.2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点击“同意”签订易制毒化学品采购申报责任书：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6050" cy="2348230"/>
            <wp:effectExtent l="0" t="0" r="6350" b="139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3.3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填写基本信息：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7320" cy="637540"/>
            <wp:effectExtent l="0" t="0" r="5080" b="254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3.4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点“添加商品”增加条目，条目中下拉框中选择相应</w:t>
      </w:r>
      <w:r>
        <w:rPr>
          <w:rStyle w:val="33"/>
          <w:rFonts w:hint="default" w:ascii="宋体" w:hAnsi="宋体"/>
          <w:sz w:val="24"/>
          <w:szCs w:val="24"/>
          <w:lang w:eastAsia="zh-CN"/>
        </w:rPr>
        <w:t>信息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：（</w:t>
      </w:r>
      <w:r>
        <w:rPr>
          <w:rStyle w:val="33"/>
          <w:rFonts w:hint="eastAsia" w:ascii="宋体" w:hAnsi="宋体"/>
          <w:b/>
          <w:bCs/>
          <w:color w:val="FF0000"/>
          <w:sz w:val="24"/>
          <w:szCs w:val="24"/>
          <w:lang w:eastAsia="zh-CN"/>
        </w:rPr>
        <w:t>为避免公司无货，同一品种可以选择多个公司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）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7320" cy="1099185"/>
            <wp:effectExtent l="0" t="0" r="5080" b="1333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3.5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填写完成后点击“提交”完成申报：（部分完成可点击“保存草稿”暂存）</w:t>
      </w:r>
    </w:p>
    <w:p>
      <w:pPr>
        <w:spacing w:line="288" w:lineRule="auto"/>
        <w:ind w:left="0" w:leftChars="0" w:firstLine="0" w:firstLineChars="0"/>
        <w:jc w:val="center"/>
        <w:rPr>
          <w:rFonts w:hint="default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1493520" cy="511175"/>
            <wp:effectExtent l="0" t="0" r="0" b="698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20" w:beforeLines="50" w:after="120" w:afterLines="50" w:line="360" w:lineRule="auto"/>
        <w:rPr>
          <w:rStyle w:val="33"/>
          <w:rFonts w:hint="eastAsia" w:ascii="宋体" w:hAnsi="宋体" w:eastAsia="宋体" w:cs="宋体"/>
          <w:lang w:val="zh-TW" w:eastAsia="zh-CN"/>
        </w:rPr>
      </w:pPr>
      <w:bookmarkStart w:id="12" w:name="_GoBack"/>
      <w:bookmarkEnd w:id="12"/>
      <w:bookmarkStart w:id="4" w:name="_Toc17"/>
      <w:bookmarkStart w:id="5" w:name="_Toc35528830"/>
      <w:r>
        <w:rPr>
          <w:rStyle w:val="33"/>
          <w:rFonts w:hint="eastAsia" w:ascii="宋体" w:hAnsi="宋体" w:eastAsia="宋体"/>
          <w:lang w:val="zh-TW" w:eastAsia="zh-TW"/>
        </w:rPr>
        <w:t>二、</w:t>
      </w:r>
      <w:r>
        <w:rPr>
          <w:rStyle w:val="33"/>
          <w:rFonts w:hint="eastAsia" w:ascii="宋体" w:hAnsi="宋体" w:eastAsia="宋体"/>
          <w:lang w:val="zh-TW" w:eastAsia="zh-CN"/>
        </w:rPr>
        <w:t>单位审核人</w:t>
      </w:r>
      <w:r>
        <w:rPr>
          <w:rStyle w:val="33"/>
          <w:rFonts w:hint="eastAsia" w:ascii="宋体" w:hAnsi="宋体" w:eastAsia="宋体"/>
          <w:lang w:val="zh-TW" w:eastAsia="zh-TW"/>
        </w:rPr>
        <w:t>操作</w:t>
      </w:r>
      <w:bookmarkEnd w:id="4"/>
      <w:bookmarkEnd w:id="5"/>
      <w:r>
        <w:rPr>
          <w:rStyle w:val="33"/>
          <w:rFonts w:hint="eastAsia" w:ascii="宋体" w:hAnsi="宋体" w:eastAsia="宋体"/>
          <w:lang w:val="zh-TW" w:eastAsia="zh-CN"/>
        </w:rPr>
        <w:t>说明</w:t>
      </w:r>
    </w:p>
    <w:p>
      <w:pPr>
        <w:pStyle w:val="3"/>
        <w:spacing w:before="0" w:after="0"/>
        <w:rPr>
          <w:rStyle w:val="33"/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35528831"/>
      <w:bookmarkStart w:id="7" w:name="_Toc18"/>
      <w:r>
        <w:rPr>
          <w:rStyle w:val="33"/>
          <w:rFonts w:ascii="宋体" w:hAnsi="宋体" w:eastAsia="宋体"/>
        </w:rPr>
        <w:t>1</w:t>
      </w:r>
      <w:r>
        <w:rPr>
          <w:rStyle w:val="33"/>
          <w:rFonts w:ascii="宋体" w:hAnsi="宋体" w:eastAsia="宋体"/>
          <w:sz w:val="24"/>
          <w:szCs w:val="24"/>
        </w:rPr>
        <w:t>.</w:t>
      </w:r>
      <w:r>
        <w:rPr>
          <w:rStyle w:val="33"/>
          <w:rFonts w:hint="eastAsia" w:ascii="宋体" w:hAnsi="宋体" w:eastAsia="宋体"/>
          <w:sz w:val="24"/>
          <w:szCs w:val="24"/>
          <w:lang w:val="zh-TW" w:eastAsia="zh-TW"/>
        </w:rPr>
        <w:t>登录</w:t>
      </w:r>
      <w:bookmarkEnd w:id="6"/>
      <w:bookmarkEnd w:id="7"/>
      <w:r>
        <w:rPr>
          <w:rStyle w:val="33"/>
          <w:rFonts w:hint="eastAsia" w:ascii="宋体" w:hAnsi="宋体" w:eastAsia="宋体"/>
          <w:sz w:val="24"/>
          <w:szCs w:val="24"/>
          <w:lang w:val="zh-TW" w:eastAsia="zh-CN"/>
        </w:rPr>
        <w:t>入口</w:t>
      </w:r>
    </w:p>
    <w:p>
      <w:pPr>
        <w:rPr>
          <w:rStyle w:val="33"/>
          <w:rFonts w:hint="default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单位审核人从管理方入口登录：</w:t>
      </w:r>
    </w:p>
    <w:p>
      <w:pPr>
        <w:spacing w:line="288" w:lineRule="auto"/>
        <w:ind w:firstLine="0"/>
        <w:jc w:val="center"/>
        <w:rPr>
          <w:rStyle w:val="33"/>
          <w:rFonts w:hint="default" w:ascii="宋体" w:hAnsi="宋体" w:eastAsia="PMingLiU"/>
          <w:sz w:val="24"/>
          <w:szCs w:val="24"/>
        </w:rPr>
      </w:pPr>
      <w:r>
        <w:drawing>
          <wp:inline distT="0" distB="0" distL="114300" distR="114300">
            <wp:extent cx="3063240" cy="327660"/>
            <wp:effectExtent l="0" t="0" r="0" b="762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Style w:val="33"/>
          <w:rFonts w:ascii="宋体" w:hAnsi="宋体" w:eastAsia="宋体" w:cs="宋体"/>
          <w:sz w:val="24"/>
          <w:szCs w:val="24"/>
        </w:rPr>
      </w:pPr>
      <w:bookmarkStart w:id="8" w:name="_Toc19"/>
      <w:bookmarkStart w:id="9" w:name="_Toc35528832"/>
      <w:r>
        <w:rPr>
          <w:rStyle w:val="33"/>
          <w:rFonts w:ascii="宋体" w:hAnsi="宋体" w:eastAsia="宋体"/>
          <w:sz w:val="24"/>
          <w:szCs w:val="24"/>
        </w:rPr>
        <w:t>2.</w:t>
      </w:r>
      <w:bookmarkEnd w:id="8"/>
      <w:bookmarkEnd w:id="9"/>
      <w:bookmarkStart w:id="10" w:name="_Toc20"/>
      <w:bookmarkStart w:id="11" w:name="_Toc35528833"/>
      <w:r>
        <w:rPr>
          <w:rStyle w:val="33"/>
          <w:rFonts w:hint="eastAsia" w:ascii="宋体" w:hAnsi="宋体" w:eastAsia="宋体"/>
          <w:sz w:val="24"/>
          <w:szCs w:val="24"/>
          <w:lang w:val="zh-TW" w:eastAsia="zh-TW"/>
        </w:rPr>
        <w:t>易制毒审批</w:t>
      </w:r>
      <w:bookmarkEnd w:id="10"/>
      <w:bookmarkEnd w:id="11"/>
    </w:p>
    <w:p>
      <w:pPr>
        <w:spacing w:line="288" w:lineRule="auto"/>
        <w:rPr>
          <w:rStyle w:val="33"/>
          <w:rFonts w:hint="default" w:ascii="宋体" w:hAnsi="宋体"/>
          <w:sz w:val="24"/>
          <w:szCs w:val="24"/>
          <w:lang w:eastAsia="zh-CN"/>
        </w:rPr>
      </w:pPr>
      <w:r>
        <w:rPr>
          <w:rStyle w:val="33"/>
          <w:rFonts w:ascii="宋体" w:hAnsi="宋体"/>
          <w:sz w:val="24"/>
          <w:szCs w:val="24"/>
        </w:rPr>
        <w:t>点击左侧导航栏中的</w:t>
      </w:r>
      <w:r>
        <w:rPr>
          <w:rStyle w:val="33"/>
          <w:rFonts w:hint="default" w:ascii="宋体" w:hAnsi="宋体"/>
          <w:sz w:val="24"/>
          <w:szCs w:val="24"/>
        </w:rPr>
        <w:t>“</w:t>
      </w:r>
      <w:r>
        <w:rPr>
          <w:rStyle w:val="33"/>
          <w:rFonts w:ascii="宋体" w:hAnsi="宋体"/>
          <w:sz w:val="24"/>
          <w:szCs w:val="24"/>
        </w:rPr>
        <w:t>易制毒审批</w:t>
      </w:r>
      <w:r>
        <w:rPr>
          <w:rStyle w:val="33"/>
          <w:rFonts w:hint="default" w:ascii="宋体" w:hAnsi="宋体"/>
          <w:sz w:val="24"/>
          <w:szCs w:val="24"/>
        </w:rPr>
        <w:t>”</w:t>
      </w:r>
      <w:r>
        <w:rPr>
          <w:rStyle w:val="33"/>
          <w:rFonts w:ascii="宋体" w:hAnsi="宋体"/>
          <w:sz w:val="24"/>
          <w:szCs w:val="24"/>
        </w:rPr>
        <w:t>模块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288" w:lineRule="auto"/>
        <w:ind w:firstLine="0"/>
        <w:rPr>
          <w:rFonts w:hint="default" w:ascii="宋体" w:hAnsi="宋体"/>
          <w:sz w:val="36"/>
          <w:szCs w:val="36"/>
        </w:rPr>
      </w:pPr>
      <w:r>
        <w:drawing>
          <wp:inline distT="0" distB="0" distL="114300" distR="114300">
            <wp:extent cx="3870960" cy="2529840"/>
            <wp:effectExtent l="0" t="0" r="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7938" w:h="11510"/>
      <w:pgMar w:top="851" w:right="851" w:bottom="851" w:left="85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Arial Unicode MS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4"/>
    <w:rsid w:val="000057E7"/>
    <w:rsid w:val="000326BA"/>
    <w:rsid w:val="000326C2"/>
    <w:rsid w:val="00067DBC"/>
    <w:rsid w:val="00071929"/>
    <w:rsid w:val="00093233"/>
    <w:rsid w:val="000A4176"/>
    <w:rsid w:val="000A68BA"/>
    <w:rsid w:val="000C28CD"/>
    <w:rsid w:val="00152DD0"/>
    <w:rsid w:val="00162839"/>
    <w:rsid w:val="001648F6"/>
    <w:rsid w:val="00166D8F"/>
    <w:rsid w:val="00167739"/>
    <w:rsid w:val="00171F0D"/>
    <w:rsid w:val="00172200"/>
    <w:rsid w:val="0017576D"/>
    <w:rsid w:val="001857D2"/>
    <w:rsid w:val="0018599C"/>
    <w:rsid w:val="00195058"/>
    <w:rsid w:val="001D3575"/>
    <w:rsid w:val="001D422E"/>
    <w:rsid w:val="0021013F"/>
    <w:rsid w:val="00227B79"/>
    <w:rsid w:val="00243EB6"/>
    <w:rsid w:val="002469A8"/>
    <w:rsid w:val="002525D2"/>
    <w:rsid w:val="00275C51"/>
    <w:rsid w:val="002C213F"/>
    <w:rsid w:val="002E7030"/>
    <w:rsid w:val="002F1106"/>
    <w:rsid w:val="00334C64"/>
    <w:rsid w:val="003524D4"/>
    <w:rsid w:val="00375843"/>
    <w:rsid w:val="003779C2"/>
    <w:rsid w:val="003824A2"/>
    <w:rsid w:val="00383FA5"/>
    <w:rsid w:val="00392934"/>
    <w:rsid w:val="003938A2"/>
    <w:rsid w:val="00396F54"/>
    <w:rsid w:val="003D404E"/>
    <w:rsid w:val="003E3F70"/>
    <w:rsid w:val="003E78D8"/>
    <w:rsid w:val="003F1F76"/>
    <w:rsid w:val="00416FCE"/>
    <w:rsid w:val="00453E49"/>
    <w:rsid w:val="0046005F"/>
    <w:rsid w:val="004863E1"/>
    <w:rsid w:val="004A606E"/>
    <w:rsid w:val="004B0C27"/>
    <w:rsid w:val="004C599B"/>
    <w:rsid w:val="004C5BBB"/>
    <w:rsid w:val="004C5E8B"/>
    <w:rsid w:val="004E4A1A"/>
    <w:rsid w:val="0053137A"/>
    <w:rsid w:val="0053428A"/>
    <w:rsid w:val="005346E4"/>
    <w:rsid w:val="0053480C"/>
    <w:rsid w:val="0057212F"/>
    <w:rsid w:val="005829CE"/>
    <w:rsid w:val="00596121"/>
    <w:rsid w:val="00596B1E"/>
    <w:rsid w:val="005A0AE7"/>
    <w:rsid w:val="005A7E8E"/>
    <w:rsid w:val="005C0530"/>
    <w:rsid w:val="005E207B"/>
    <w:rsid w:val="005F3606"/>
    <w:rsid w:val="0060777B"/>
    <w:rsid w:val="00616ECF"/>
    <w:rsid w:val="00624F25"/>
    <w:rsid w:val="006369CD"/>
    <w:rsid w:val="006646D6"/>
    <w:rsid w:val="006672DB"/>
    <w:rsid w:val="00697A95"/>
    <w:rsid w:val="006A54FE"/>
    <w:rsid w:val="006E1415"/>
    <w:rsid w:val="00722291"/>
    <w:rsid w:val="00730DA4"/>
    <w:rsid w:val="007322D8"/>
    <w:rsid w:val="00733F02"/>
    <w:rsid w:val="0075458B"/>
    <w:rsid w:val="00757A23"/>
    <w:rsid w:val="00797B82"/>
    <w:rsid w:val="007C31FF"/>
    <w:rsid w:val="007E5698"/>
    <w:rsid w:val="007E6835"/>
    <w:rsid w:val="007E6B5E"/>
    <w:rsid w:val="007F479D"/>
    <w:rsid w:val="00801231"/>
    <w:rsid w:val="008123BF"/>
    <w:rsid w:val="008249DD"/>
    <w:rsid w:val="00826B27"/>
    <w:rsid w:val="0083621C"/>
    <w:rsid w:val="0083716B"/>
    <w:rsid w:val="008568A4"/>
    <w:rsid w:val="00862E5B"/>
    <w:rsid w:val="00863C7E"/>
    <w:rsid w:val="0086609F"/>
    <w:rsid w:val="00867C18"/>
    <w:rsid w:val="008A39CC"/>
    <w:rsid w:val="008D6150"/>
    <w:rsid w:val="008E0BA8"/>
    <w:rsid w:val="008F1D28"/>
    <w:rsid w:val="008F6178"/>
    <w:rsid w:val="009107EC"/>
    <w:rsid w:val="0091571D"/>
    <w:rsid w:val="009374DD"/>
    <w:rsid w:val="00953B30"/>
    <w:rsid w:val="0095407A"/>
    <w:rsid w:val="00976CEB"/>
    <w:rsid w:val="009B3612"/>
    <w:rsid w:val="009E697A"/>
    <w:rsid w:val="009F06EB"/>
    <w:rsid w:val="009F6022"/>
    <w:rsid w:val="00A27747"/>
    <w:rsid w:val="00A33396"/>
    <w:rsid w:val="00A34415"/>
    <w:rsid w:val="00A35340"/>
    <w:rsid w:val="00A36821"/>
    <w:rsid w:val="00A50B9D"/>
    <w:rsid w:val="00A51CBC"/>
    <w:rsid w:val="00A720C6"/>
    <w:rsid w:val="00AA72CD"/>
    <w:rsid w:val="00AB2BF6"/>
    <w:rsid w:val="00AD741F"/>
    <w:rsid w:val="00AF3E49"/>
    <w:rsid w:val="00B14661"/>
    <w:rsid w:val="00B229D6"/>
    <w:rsid w:val="00B4170A"/>
    <w:rsid w:val="00B53EDB"/>
    <w:rsid w:val="00B57D68"/>
    <w:rsid w:val="00B6441E"/>
    <w:rsid w:val="00B669EB"/>
    <w:rsid w:val="00B759F2"/>
    <w:rsid w:val="00B75B89"/>
    <w:rsid w:val="00B96978"/>
    <w:rsid w:val="00BA0DAE"/>
    <w:rsid w:val="00BA479C"/>
    <w:rsid w:val="00BB0E12"/>
    <w:rsid w:val="00BB3374"/>
    <w:rsid w:val="00BC4AEE"/>
    <w:rsid w:val="00BC5575"/>
    <w:rsid w:val="00C50AF7"/>
    <w:rsid w:val="00C6058D"/>
    <w:rsid w:val="00C6058E"/>
    <w:rsid w:val="00C801DE"/>
    <w:rsid w:val="00CC7C06"/>
    <w:rsid w:val="00CE6156"/>
    <w:rsid w:val="00D102C7"/>
    <w:rsid w:val="00D53847"/>
    <w:rsid w:val="00D638F2"/>
    <w:rsid w:val="00D7620A"/>
    <w:rsid w:val="00DB12CF"/>
    <w:rsid w:val="00DB6721"/>
    <w:rsid w:val="00DC0F5F"/>
    <w:rsid w:val="00DD50E7"/>
    <w:rsid w:val="00DF0D9B"/>
    <w:rsid w:val="00E27F9F"/>
    <w:rsid w:val="00E4649A"/>
    <w:rsid w:val="00E709EB"/>
    <w:rsid w:val="00E70E09"/>
    <w:rsid w:val="00E974C2"/>
    <w:rsid w:val="00EB201E"/>
    <w:rsid w:val="00EB401A"/>
    <w:rsid w:val="00EC3765"/>
    <w:rsid w:val="00ED3094"/>
    <w:rsid w:val="00F05B87"/>
    <w:rsid w:val="00F37DED"/>
    <w:rsid w:val="00F43F3D"/>
    <w:rsid w:val="00F477DE"/>
    <w:rsid w:val="00F6490D"/>
    <w:rsid w:val="00F77001"/>
    <w:rsid w:val="00F77A97"/>
    <w:rsid w:val="00F8706A"/>
    <w:rsid w:val="00FB719F"/>
    <w:rsid w:val="00FC45FD"/>
    <w:rsid w:val="00FD6987"/>
    <w:rsid w:val="27420CAC"/>
    <w:rsid w:val="2EA4738B"/>
    <w:rsid w:val="590A75FC"/>
    <w:rsid w:val="5D8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hint="eastAsia"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 w:bidi="ar-SA"/>
    </w:rPr>
  </w:style>
  <w:style w:type="paragraph" w:styleId="2">
    <w:name w:val="heading 1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等线" w:hAnsi="等线" w:eastAsia="等线" w:cs="等线"/>
      <w:color w:val="000000"/>
      <w:kern w:val="44"/>
      <w:sz w:val="32"/>
      <w:szCs w:val="32"/>
      <w:u w:color="000000"/>
      <w:lang w:val="en-US" w:eastAsia="zh-CN" w:bidi="ar-SA"/>
    </w:rPr>
  </w:style>
  <w:style w:type="paragraph" w:styleId="3">
    <w:name w:val="heading 2"/>
    <w:next w:val="1"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6" w:lineRule="auto"/>
      <w:jc w:val="both"/>
      <w:outlineLvl w:val="1"/>
    </w:pPr>
    <w:rPr>
      <w:rFonts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680"/>
    </w:pPr>
    <w:rPr>
      <w:rFonts w:asciiTheme="minorHAnsi" w:hAnsiTheme="minorHAnsi"/>
      <w:sz w:val="18"/>
      <w:szCs w:val="18"/>
    </w:rPr>
  </w:style>
  <w:style w:type="paragraph" w:styleId="7">
    <w:name w:val="Body Text"/>
    <w:basedOn w:val="1"/>
    <w:link w:val="41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09" w:firstLine="0"/>
    </w:pPr>
    <w:rPr>
      <w:rFonts w:hint="default" w:ascii="仿宋" w:hAnsi="仿宋" w:eastAsia="仿宋" w:cs="Times New Roman"/>
      <w:color w:val="auto"/>
      <w:kern w:val="0"/>
      <w:sz w:val="32"/>
      <w:szCs w:val="32"/>
      <w:lang w:val="en-US" w:eastAsia="en-US"/>
    </w:rPr>
  </w:style>
  <w:style w:type="paragraph" w:styleId="8">
    <w:name w:val="toc 5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120"/>
    </w:pPr>
    <w:rPr>
      <w:rFonts w:asciiTheme="minorHAnsi" w:hAnsi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60"/>
    </w:pPr>
    <w:rPr>
      <w:rFonts w:asciiTheme="minorHAnsi" w:hAnsi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960"/>
    </w:pPr>
    <w:rPr>
      <w:rFonts w:asciiTheme="minorHAnsi" w:hAnsiTheme="minorHAnsi"/>
      <w:sz w:val="18"/>
      <w:szCs w:val="18"/>
    </w:rPr>
  </w:style>
  <w:style w:type="paragraph" w:styleId="11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2">
    <w:name w:val="Balloon Text"/>
    <w:basedOn w:val="1"/>
    <w:link w:val="3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13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both"/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840"/>
    </w:pPr>
    <w:rPr>
      <w:rFonts w:asciiTheme="minorHAnsi" w:hAnsi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400"/>
    </w:pPr>
    <w:rPr>
      <w:rFonts w:asciiTheme="minorHAnsi" w:hAnsiTheme="minorHAns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0"/>
    </w:pPr>
    <w:rPr>
      <w:rFonts w:asciiTheme="minorHAnsi" w:hAnsiTheme="minorHAnsi"/>
      <w:smallCaps/>
      <w:sz w:val="20"/>
      <w:szCs w:val="20"/>
    </w:rPr>
  </w:style>
  <w:style w:type="paragraph" w:styleId="19">
    <w:name w:val="toc 9"/>
    <w:basedOn w:val="1"/>
    <w:next w:val="1"/>
    <w:unhideWhenUsed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240"/>
    </w:pPr>
    <w:rPr>
      <w:rFonts w:asciiTheme="minorHAnsi" w:hAnsiTheme="minorHAnsi"/>
      <w:sz w:val="18"/>
      <w:szCs w:val="18"/>
    </w:rPr>
  </w:style>
  <w:style w:type="paragraph" w:styleId="20">
    <w:name w:val="Normal (Web)"/>
    <w:basedOn w:val="1"/>
    <w:unhideWhenUsed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ind w:firstLine="0"/>
    </w:pPr>
    <w:rPr>
      <w:rFonts w:hint="default" w:ascii="宋体" w:hAnsi="宋体" w:cs="宋体"/>
      <w:color w:val="auto"/>
      <w:kern w:val="0"/>
      <w:sz w:val="24"/>
      <w:szCs w:val="24"/>
      <w:lang w:val="en-US" w:eastAsia="zh-CN"/>
    </w:rPr>
  </w:style>
  <w:style w:type="character" w:styleId="23">
    <w:name w:val="Hyperlink"/>
    <w:qFormat/>
    <w:uiPriority w:val="99"/>
    <w:rPr>
      <w:u w:val="single"/>
    </w:rPr>
  </w:style>
  <w:style w:type="character" w:styleId="24">
    <w:name w:val="annotation reference"/>
    <w:basedOn w:val="22"/>
    <w:qFormat/>
    <w:uiPriority w:val="0"/>
    <w:rPr>
      <w:sz w:val="21"/>
      <w:szCs w:val="21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7">
    <w:name w:val="小标题 A"/>
    <w:next w:val="1"/>
    <w:qFormat/>
    <w:uiPriority w:val="0"/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  <w:outlineLvl w:val="2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28">
    <w:name w:val="TOC Heading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line="259" w:lineRule="auto"/>
      <w:jc w:val="both"/>
    </w:pPr>
    <w:rPr>
      <w:rFonts w:ascii="Arial Unicode MS" w:hAnsi="Arial Unicode MS" w:eastAsia="Arial Unicode MS" w:cs="Arial Unicode MS"/>
      <w:color w:val="2E74B5"/>
      <w:sz w:val="32"/>
      <w:szCs w:val="32"/>
      <w:u w:color="2E74B5"/>
      <w:lang w:val="en-US" w:eastAsia="zh-CN" w:bidi="ar-SA"/>
    </w:rPr>
  </w:style>
  <w:style w:type="paragraph" w:customStyle="1" w:styleId="29">
    <w:name w:val="说明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150"/>
      </w:tabs>
      <w:jc w:val="both"/>
    </w:pPr>
    <w:rPr>
      <w:rFonts w:hint="eastAsia" w:ascii="Arial Unicode MS" w:hAnsi="Arial Unicode MS" w:eastAsia="Arial Unicode MS" w:cs="Arial Unicode MS"/>
      <w:caps/>
      <w:color w:val="000000"/>
      <w:u w:color="000000"/>
      <w:lang w:val="zh-TW" w:eastAsia="zh-TW" w:bidi="ar-SA"/>
    </w:rPr>
  </w:style>
  <w:style w:type="paragraph" w:customStyle="1" w:styleId="30">
    <w:name w:val="目录 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paragraph" w:customStyle="1" w:styleId="31">
    <w:name w:val="目录 2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ind w:left="22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2">
    <w:name w:val="目录 3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character" w:customStyle="1" w:styleId="33">
    <w:name w:val="无"/>
    <w:qFormat/>
    <w:uiPriority w:val="0"/>
  </w:style>
  <w:style w:type="character" w:customStyle="1" w:styleId="34">
    <w:name w:val="Hyperlink.0"/>
    <w:basedOn w:val="33"/>
    <w:qFormat/>
    <w:uiPriority w:val="0"/>
    <w:rPr>
      <w:rFonts w:ascii="宋体" w:hAnsi="宋体" w:eastAsia="宋体" w:cs="宋体"/>
      <w:color w:val="000000"/>
      <w:sz w:val="28"/>
      <w:szCs w:val="28"/>
      <w:u w:val="single" w:color="000000"/>
      <w:lang w:val="en-US"/>
    </w:rPr>
  </w:style>
  <w:style w:type="paragraph" w:customStyle="1" w:styleId="35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character" w:customStyle="1" w:styleId="36">
    <w:name w:val="Hyperlink.1"/>
    <w:basedOn w:val="33"/>
    <w:uiPriority w:val="0"/>
    <w:rPr>
      <w:rFonts w:ascii="宋体" w:hAnsi="宋体" w:eastAsia="宋体" w:cs="宋体"/>
      <w:color w:val="0000FF"/>
      <w:sz w:val="28"/>
      <w:szCs w:val="28"/>
      <w:u w:val="single" w:color="0000FF"/>
      <w:lang w:val="en-US"/>
    </w:rPr>
  </w:style>
  <w:style w:type="character" w:customStyle="1" w:styleId="37">
    <w:name w:val="批注框文本 字符"/>
    <w:basedOn w:val="22"/>
    <w:link w:val="12"/>
    <w:semiHidden/>
    <w:qFormat/>
    <w:uiPriority w:val="99"/>
    <w:rPr>
      <w:rFonts w:ascii="Heiti SC Light" w:hAnsi="Arial Unicode MS" w:eastAsia="Heiti SC Light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8">
    <w:name w:val="页眉 字符"/>
    <w:basedOn w:val="22"/>
    <w:link w:val="14"/>
    <w:uiPriority w:val="99"/>
    <w:rPr>
      <w:rFonts w:ascii="Arial Unicode MS" w:hAnsi="Arial Unicode MS" w:eastAsia="宋体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9">
    <w:name w:val="日期 字符"/>
    <w:basedOn w:val="22"/>
    <w:link w:val="11"/>
    <w:semiHidden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40">
    <w:name w:val="正文文本 字符"/>
    <w:basedOn w:val="22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41">
    <w:name w:val="正文文本 字符1"/>
    <w:link w:val="7"/>
    <w:qFormat/>
    <w:uiPriority w:val="1"/>
    <w:rPr>
      <w:rFonts w:ascii="仿宋" w:hAnsi="仿宋" w:eastAsia="仿宋"/>
      <w:sz w:val="32"/>
      <w:szCs w:val="32"/>
      <w:lang w:eastAsia="en-US"/>
    </w:rPr>
  </w:style>
  <w:style w:type="character" w:customStyle="1" w:styleId="42">
    <w:name w:val="标题 3 字符"/>
    <w:basedOn w:val="22"/>
    <w:link w:val="4"/>
    <w:uiPriority w:val="9"/>
    <w:rPr>
      <w:rFonts w:ascii="Arial Unicode MS" w:hAnsi="Arial Unicode MS" w:eastAsia="宋体" w:cs="Arial Unicode MS"/>
      <w:b/>
      <w:bCs/>
      <w:color w:val="374051"/>
      <w:kern w:val="2"/>
      <w:sz w:val="32"/>
      <w:szCs w:val="32"/>
      <w:u w:color="374051"/>
      <w:lang w:val="zh-TW" w:eastAsia="zh-TW"/>
    </w:rPr>
  </w:style>
  <w:style w:type="character" w:customStyle="1" w:styleId="43">
    <w:name w:val="标题 4 字符"/>
    <w:basedOn w:val="22"/>
    <w:link w:val="5"/>
    <w:uiPriority w:val="9"/>
    <w:rPr>
      <w:rFonts w:asciiTheme="majorHAnsi" w:hAnsiTheme="majorHAnsi" w:eastAsiaTheme="majorEastAsia" w:cstheme="majorBidi"/>
      <w:b/>
      <w:bCs/>
      <w:color w:val="374051"/>
      <w:kern w:val="2"/>
      <w:sz w:val="28"/>
      <w:szCs w:val="28"/>
      <w:u w:color="37405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3E8D5-E602-3446-9D78-EA316DA06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3160</Words>
  <Characters>18013</Characters>
  <Lines>150</Lines>
  <Paragraphs>42</Paragraphs>
  <TotalTime>2</TotalTime>
  <ScaleCrop>false</ScaleCrop>
  <LinksUpToDate>false</LinksUpToDate>
  <CharactersWithSpaces>21131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2019-02-11T09:49:00Z</dcterms:created>
  <dc:creator>admin</dc:creator>
  <cp:lastModifiedBy>水无痕</cp:lastModifiedBy>
  <cp:lastPrinted>2019-02-11T09:49:00Z</cp:lastPrinted>
  <dcterms:modified xsi:type="dcterms:W3CDTF">2021-12-14T07:45:43Z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318F6DCAF4104CD9BFF07D07BAD2BC05</vt:lpwstr>
  </property>
</Properties>
</file>